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561E" w14:textId="77777777" w:rsidR="003810C0" w:rsidRDefault="002E26EA">
      <w:pPr>
        <w:pStyle w:val="Ttulo"/>
        <w:spacing w:before="80" w:after="40"/>
      </w:pPr>
      <w:r>
        <w:t>Matriz comparativa de análise mediática e argumentativa preenchida</w:t>
      </w:r>
    </w:p>
    <w:p w14:paraId="432B80C9" w14:textId="77777777" w:rsidR="003810C0" w:rsidRDefault="002E26EA">
      <w:pPr>
        <w:spacing w:after="140"/>
      </w:pPr>
      <w:r>
        <w:rPr>
          <w:color w:val="243746"/>
          <w:sz w:val="16"/>
        </w:rPr>
        <w:t>Exemplo com duas imagens selecionadas do material da Sessão 2</w:t>
      </w:r>
    </w:p>
    <w:p w14:paraId="76F86839" w14:textId="77777777" w:rsidR="003810C0" w:rsidRDefault="002E26EA">
      <w:pPr>
        <w:spacing w:after="100"/>
      </w:pPr>
      <w:r>
        <w:rPr>
          <w:color w:val="243746"/>
          <w:sz w:val="16"/>
        </w:rPr>
        <w:t>Objetivo. Servir de exemplo para o preenchimento da matriz comparativa, mostrando como cada conclusão deve apoiar-se num elemento observável e como se registam as limitações da análise.</w:t>
      </w:r>
    </w:p>
    <w:p w14:paraId="32C33E4E" w14:textId="77777777" w:rsidR="003810C0" w:rsidRDefault="002E26EA">
      <w:pPr>
        <w:pStyle w:val="Listacommarcas"/>
        <w:spacing w:after="30"/>
        <w:ind w:left="317" w:hanging="230"/>
      </w:pPr>
      <w:r>
        <w:rPr>
          <w:color w:val="243746"/>
          <w:sz w:val="16"/>
        </w:rPr>
        <w:t>As duas mensagens visuais apresentam uma pessoa com a cabeça entre as mãos em contextos profissionais diferentes: uma sala de aula e um estaleiro.</w:t>
      </w:r>
    </w:p>
    <w:p w14:paraId="073A09E3" w14:textId="77777777" w:rsidR="003810C0" w:rsidRDefault="002E26EA">
      <w:pPr>
        <w:pStyle w:val="Listacommarcas"/>
        <w:spacing w:after="30"/>
        <w:ind w:left="317" w:hanging="230"/>
      </w:pPr>
      <w:r>
        <w:rPr>
          <w:color w:val="243746"/>
          <w:sz w:val="16"/>
        </w:rPr>
        <w:t>A tese e as razões são implícitas, porque as imagens não incluem texto, dados, legenda ou apelo verbal.</w:t>
      </w:r>
    </w:p>
    <w:p w14:paraId="5899EAE2" w14:textId="77777777" w:rsidR="003810C0" w:rsidRDefault="002E26EA">
      <w:pPr>
        <w:pStyle w:val="Listacommarcas"/>
        <w:spacing w:after="30"/>
        <w:ind w:left="317" w:hanging="230"/>
      </w:pPr>
      <w:r>
        <w:rPr>
          <w:color w:val="243746"/>
          <w:sz w:val="16"/>
        </w:rPr>
        <w:t>Quando o ficheiro não permite identificar autoria, data, publicação ou prova externa, o exemplo usa ‘não apresentada’ ou ‘por verificar’.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2088"/>
        <w:gridCol w:w="1555"/>
        <w:gridCol w:w="2332"/>
        <w:gridCol w:w="1843"/>
        <w:gridCol w:w="2851"/>
        <w:gridCol w:w="691"/>
        <w:gridCol w:w="2001"/>
      </w:tblGrid>
      <w:tr w:rsidR="003810C0" w14:paraId="59AD6FC7" w14:textId="77777777">
        <w:trPr>
          <w:trHeight w:val="490"/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D4BA64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Grupo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F637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Exemplo do formador</w:t>
            </w:r>
          </w:p>
        </w:tc>
        <w:tc>
          <w:tcPr>
            <w:tcW w:w="15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96F372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Disciplina e ano</w:t>
            </w:r>
          </w:p>
        </w:tc>
        <w:tc>
          <w:tcPr>
            <w:tcW w:w="23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60686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Transversal, 3.º ciclo e secundário</w:t>
            </w:r>
          </w:p>
        </w:tc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51FAA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Carta de Projeto</w:t>
            </w:r>
          </w:p>
        </w:tc>
        <w:tc>
          <w:tcPr>
            <w:tcW w:w="2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CA68F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Bem-estar e pressão no trabalho</w:t>
            </w:r>
          </w:p>
        </w:tc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5E81B6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Data</w:t>
            </w:r>
          </w:p>
        </w:tc>
        <w:tc>
          <w:tcPr>
            <w:tcW w:w="20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A2DAB7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24 de setembro de 2026</w:t>
            </w:r>
          </w:p>
        </w:tc>
      </w:tr>
    </w:tbl>
    <w:p w14:paraId="6DA60234" w14:textId="77777777" w:rsidR="003810C0" w:rsidRDefault="003810C0">
      <w:pPr>
        <w:spacing w:after="0"/>
      </w:pPr>
    </w:p>
    <w:p w14:paraId="14AF67B9" w14:textId="77777777" w:rsidR="003810C0" w:rsidRDefault="002E26EA">
      <w:pPr>
        <w:pStyle w:val="Ttulo1"/>
        <w:spacing w:before="60" w:after="60"/>
      </w:pPr>
      <w:r>
        <w:t>Registo de origem e comparabilidade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5443"/>
        <w:gridCol w:w="5428"/>
      </w:tblGrid>
      <w:tr w:rsidR="003810C0" w14:paraId="6E2F26D8" w14:textId="77777777">
        <w:trPr>
          <w:trHeight w:val="518"/>
          <w:tblHeader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2AEE2A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Dado a registar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F7F74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A ligada à Carta de Projeto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92F7A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B comparável</w:t>
            </w:r>
          </w:p>
        </w:tc>
      </w:tr>
      <w:tr w:rsidR="003810C0" w14:paraId="4E9C17FA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F23045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Título ou descrição breve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00" w:type="dxa"/>
              <w:bottom w:w="100" w:type="dxa"/>
              <w:right w:w="100" w:type="dxa"/>
            </w:tcMar>
            <w:vAlign w:val="center"/>
          </w:tcPr>
          <w:p w14:paraId="63328E06" w14:textId="77777777" w:rsidR="003810C0" w:rsidRDefault="002E26EA">
            <w:pPr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48E7AA0F" wp14:editId="7A73E88C">
                  <wp:extent cx="2011680" cy="129322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129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7F568C" w14:textId="77777777" w:rsidR="003810C0" w:rsidRDefault="002E26EA">
            <w:pPr>
              <w:spacing w:after="40"/>
              <w:jc w:val="center"/>
            </w:pPr>
            <w:r>
              <w:rPr>
                <w:b/>
                <w:color w:val="164A70"/>
                <w:sz w:val="16"/>
              </w:rPr>
              <w:t>Mensagem A</w:t>
            </w:r>
          </w:p>
          <w:p w14:paraId="2127EE96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Pessoa sentada à secretária, diante de um quadro escolar e junto de livros, com a cabeça entre as mãos.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00" w:type="dxa"/>
              <w:bottom w:w="100" w:type="dxa"/>
              <w:right w:w="100" w:type="dxa"/>
            </w:tcMar>
            <w:vAlign w:val="center"/>
          </w:tcPr>
          <w:p w14:paraId="13F8AD0A" w14:textId="77777777" w:rsidR="003810C0" w:rsidRDefault="002E26EA">
            <w:pPr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4BAD40AA" wp14:editId="509692B2">
                  <wp:extent cx="2240280" cy="85152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851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13031E" w14:textId="77777777" w:rsidR="003810C0" w:rsidRDefault="002E26EA">
            <w:pPr>
              <w:spacing w:after="40"/>
              <w:jc w:val="center"/>
            </w:pPr>
            <w:r>
              <w:rPr>
                <w:b/>
                <w:color w:val="164A70"/>
                <w:sz w:val="16"/>
              </w:rPr>
              <w:t>Mensagem B</w:t>
            </w:r>
          </w:p>
          <w:p w14:paraId="626B6F5C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Pessoa com equipamento de alta visibilidade num estaleiro, junto de plantas e computador, com a cabeça entre as mãos.</w:t>
            </w:r>
          </w:p>
        </w:tc>
      </w:tr>
      <w:tr w:rsidR="003810C0" w14:paraId="6657E471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50BFD0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Tipo e formato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DB8148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Fotografia digital, horizontal, sem texto nem legenda na imagem.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FB5E28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Fotografia digital, horizontal, sem texto nem legenda na imagem.</w:t>
            </w:r>
          </w:p>
        </w:tc>
      </w:tr>
      <w:tr w:rsidR="003810C0" w14:paraId="03801D97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3C0EE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Autor ou emissor identificado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6D4A4B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Não apresentado no ficheiro. A autoria original está por verificar.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C8054D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Não apresentado no ficheiro. A autoria original está por verificar.</w:t>
            </w:r>
          </w:p>
        </w:tc>
      </w:tr>
      <w:tr w:rsidR="003810C0" w14:paraId="0C7A5020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FBC953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Meio, plataforma ou local de publicação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675A1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PowerPoint ‘Imagens Luísa Magalhães sessão 2’, diapositivo 1. Publicação original por verificar.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7A4CE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PowerPoint ‘Imagens Luísa Magalhães sessão 2’, diapositivo 6. Publicação original por verificar.</w:t>
            </w:r>
          </w:p>
        </w:tc>
      </w:tr>
      <w:tr w:rsidR="003810C0" w14:paraId="5A0D35E9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09492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Data de publicação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3080AD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Não apresentada.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54C4F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Não apresentada.</w:t>
            </w:r>
          </w:p>
        </w:tc>
      </w:tr>
      <w:tr w:rsidR="003810C0" w14:paraId="737D3FEC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DA02DC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lastRenderedPageBreak/>
              <w:t>Ligação, referência e data de consulta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AC9C40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Referência interna: ficheiro fornecido para a Sessão 2, diapositivo 1. Consulta em 24/09/2026. Ligação original não apresentada.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F2ED10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Referência interna: ficheiro fornecido para a Sessão 2, diapositivo 6. Consulta em 24/09/2026. Ligação original não apresentada.</w:t>
            </w:r>
          </w:p>
        </w:tc>
      </w:tr>
      <w:tr w:rsidR="003810C0" w14:paraId="5D5F4045" w14:textId="77777777">
        <w:trPr>
          <w:cantSplit/>
          <w:trHeight w:val="619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0A3B05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Relação com a Carta de Projeto e razão da comparação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86F31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Mensagem A. Relaciona-se com uma Carta de Projeto sobre bem-estar, condições de trabalho ou representação das profissões.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280BF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4"/>
              </w:rPr>
              <w:t>Mensagem B. Permite comparar o mesmo tema e o mesmo gesto corporal noutro contexto profissional.</w:t>
            </w:r>
          </w:p>
        </w:tc>
      </w:tr>
    </w:tbl>
    <w:p w14:paraId="2A316C7C" w14:textId="77777777" w:rsidR="003810C0" w:rsidRDefault="003810C0"/>
    <w:p w14:paraId="451BAD95" w14:textId="77777777" w:rsidR="003810C0" w:rsidRDefault="002E26EA">
      <w:pPr>
        <w:pStyle w:val="Ttulo1"/>
        <w:spacing w:after="60"/>
      </w:pPr>
      <w:r>
        <w:t>Matriz comparativa de análise</w:t>
      </w:r>
    </w:p>
    <w:p w14:paraId="51DF137B" w14:textId="77777777" w:rsidR="003810C0" w:rsidRDefault="002E26EA">
      <w:pPr>
        <w:spacing w:after="120"/>
      </w:pPr>
      <w:r>
        <w:rPr>
          <w:rFonts w:eastAsia="Aptos"/>
          <w:b/>
          <w:sz w:val="19"/>
        </w:rPr>
        <w:t xml:space="preserve">Regra de preenchimento. </w:t>
      </w:r>
      <w:r>
        <w:rPr>
          <w:rFonts w:eastAsia="Aptos"/>
          <w:sz w:val="19"/>
        </w:rPr>
        <w:t>Registe um elemento concreto de cada mensagem. Se não existir prova, escreva “não apresentada”. Se a confirmação depender de uma fonte externa ainda não consultada, escreva “por verificar”. Complete a conclusão comparativa apenas depois de analisar as duas mensagens.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7"/>
        <w:gridCol w:w="4320"/>
        <w:gridCol w:w="2476"/>
        <w:gridCol w:w="2476"/>
        <w:gridCol w:w="2995"/>
      </w:tblGrid>
      <w:tr w:rsidR="003810C0" w14:paraId="69A59042" w14:textId="77777777">
        <w:trPr>
          <w:trHeight w:val="691"/>
          <w:tblHeader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FB342A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Dimensão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D3155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Questão de análise e relação argumentativa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A704F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A</w:t>
            </w:r>
            <w:r>
              <w:rPr>
                <w:rFonts w:eastAsia="Aptos"/>
                <w:b/>
                <w:color w:val="FFFFFF"/>
                <w:sz w:val="17"/>
              </w:rPr>
              <w:br/>
              <w:t>elemento concreto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2345CB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B</w:t>
            </w:r>
            <w:r>
              <w:rPr>
                <w:rFonts w:eastAsia="Aptos"/>
                <w:b/>
                <w:color w:val="FFFFFF"/>
                <w:sz w:val="17"/>
              </w:rPr>
              <w:br/>
              <w:t>elemento concreto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392DF9" w14:textId="77777777" w:rsidR="003810C0" w:rsidRDefault="002E26EA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Conclusão comparativa</w:t>
            </w:r>
            <w:r>
              <w:rPr>
                <w:rFonts w:eastAsia="Aptos"/>
                <w:b/>
                <w:color w:val="FFFFFF"/>
                <w:sz w:val="17"/>
              </w:rPr>
              <w:br/>
              <w:t>diferença, efeito e limite</w:t>
            </w:r>
          </w:p>
        </w:tc>
      </w:tr>
      <w:tr w:rsidR="003810C0" w14:paraId="5972DF47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0F9C15E9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Emissor e credibilidade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72014EA1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Ethos. Quem comunica? Que autoridade, experiência ou confiança reivindica? Que elemento concreto constrói essa credibilidade?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25F2A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Emissor não identificado. O quadro, os livros e a secretária tornam plausível o contexto escolar, mas não provam a situação representada.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99EA8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Emissor não identificado. O capacete, o colete, as plantas e o estaleiro tornam plausível o contexto de construção, mas não provam a situação representada.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C8690D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duas imagens constroem credibilidade por sinais profissionais, não pela identificação do autor ou por prova externa. A credibilidade institucional permanece por verificar.</w:t>
            </w:r>
          </w:p>
        </w:tc>
      </w:tr>
      <w:tr w:rsidR="003810C0" w14:paraId="3C5A799F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26EC928B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Público e adaptação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CBE999D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A quem se dirige? Que conhecimentos, valores ou necessidades pressupõe? Como adapta linguagem, formato e tom ao público?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1801F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Público não apresentado. O cenário escolar pode aproximar a mensagem de docentes, alunos ou públicos interessados em educação e saúde ocupacional.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F2F3B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Público não apresentado. O estaleiro e o equipamento podem aproximar a mensagem de trabalhadores, gestores ou públicos ligados à segurança e saúde no trabalho.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93922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estrutura visual é semelhante, mas cada cenário adapta a identificação emocional a um setor profissional distinto. O público real permanece por verificar.</w:t>
            </w:r>
          </w:p>
        </w:tc>
      </w:tr>
      <w:tr w:rsidR="003810C0" w14:paraId="17F64BCC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75F89CFA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Intenção e efeito pretendido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DAB2951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O que pretende que o público pense, sinta ou faça? Como essa intenção orienta as escolhas da mensagem?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5CE41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postura fechada e a cabeça baixa procuram sugerir cansaço, preocupação ou pressão e provocar empatia. Não existe apelo explícito.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61946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O mesmo gesto corporal, associado às plantas e ao computador, procura sugerir pressão no exercício profissional e provocar preocupação. Não existe apelo explícito.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2455A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Ambas procuram um efeito emocional imediato. A ausência de legenda impede determinar se pretendem informar, sensibilizar, ilustrar ou promover um serviço.</w:t>
            </w:r>
          </w:p>
        </w:tc>
      </w:tr>
      <w:tr w:rsidR="003810C0" w14:paraId="53CDB388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EC69511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lastRenderedPageBreak/>
              <w:t>Tese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0351A3B7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Qual é a afirmação, o juízo ou o apelo central? A tese surge de forma explícita ou implícita? Transcreva ou descreva o indício.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026497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Tese implícita: o trabalho em contexto escolar pode associar-se a desgaste ou pressão. Indício: cabeça entre as mãos, sobre a secretária.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D9EF2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Tese implícita: o trabalho num estaleiro pode associar-se a desgaste ou pressão. Indício: cabeça entre as mãos, diante de plantas e computador.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B8136A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teses visuais são semelhantes e mudam apenas o contexto profissional. Como não há texto, a formulação resulta de interpretação e não de afirmação explícita.</w:t>
            </w:r>
          </w:p>
        </w:tc>
      </w:tr>
      <w:tr w:rsidR="003810C0" w14:paraId="5AC5B034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156D4326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Razões e argumentos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1BB5BB02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Que razões apoiam a tese? São relevantes para a conclusão? Explique a ligação entre cada razão e aquilo que a mensagem defende.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D40A07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Razão visual sugerida: a acumulação de objetos de trabalho e a postura corporal ligam o contexto profissional ao desconforto. Causa concreta não apresentada.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91814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Razão visual sugerida: o trabalho técnico, as plantas e o computador enquadram a postura de desconforto. Causa concreta não apresentada.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8D58F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imagens aproximam cenário e emoção, mas não explicam por que razão as pessoas estão nessa posição. A ligação causal entre trabalho e stress permanece por demonstrar.</w:t>
            </w:r>
          </w:p>
        </w:tc>
      </w:tr>
      <w:tr w:rsidR="003810C0" w14:paraId="643CF343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6D05B240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Evidência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0E9428A8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Logos. Que dados, fontes, exemplos ou testemunhos apresenta? São verificáveis e suficientes? Assinale “não apresentada” ou “por verificar” quando necessário.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85B9E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Não apresentada. A fotografia é um exemplo visual, sem dados, testemunho, fonte, legenda ou confirmação de que retrata uma situação real.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0FAB2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Não apresentada. A fotografia é um exemplo visual, sem dados, testemunho, fonte, legenda ou confirmação de que retrata uma situação real.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256FC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Nenhuma mensagem fornece evidência suficiente para generalizar sobre os profissionais ou medir stress laboral. A origem e o eventual caráter encenado estão por verificar.</w:t>
            </w:r>
          </w:p>
        </w:tc>
      </w:tr>
      <w:tr w:rsidR="003810C0" w14:paraId="2B0F2A75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114D3B5E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Estratégias persuasivas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AEB3972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Que recursos verbais, visuais ou emocionais utiliza? Como funcionam logos, ethos e pathos? Existe exagero, falsa escolha ou outra fragilidade argumentativa?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7C26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Pathos: gesto reconhecível de aflição, cabeça baixa e isolamento da figura. Composição centrada e objetos escolares orientam a leitura.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B8AF4B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Pathos: o mesmo gesto de aflição. O laranja do capacete e do colete cria contraste e torna a figura dominante; plantas e computador ancoram o contexto.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29C8F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duas dependem sobretudo de pathos e de códigos visuais convencionais. B oferece mais pormenores contextuais; nenhuma desenvolve logos ou ethos verificável.</w:t>
            </w:r>
          </w:p>
        </w:tc>
      </w:tr>
      <w:tr w:rsidR="003810C0" w14:paraId="1A7347E4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7FDCA0F8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Representação e valores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4E183B76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Como representa pessoas, grupos, problemas ou valores? Quem aparece como agente e quem fica reduzido a objeto, símbolo ou estereótipo?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ADF0F7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Representa uma mulher, aparentemente docente, isolada e passiva perante o problema. Valor implícito: o trabalho escolar pode exigir cuidado e apoio.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01F81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Representa um homem, aparentemente trabalhador ou técnico de obra, isolado e passivo perante o problema. Valor implícito: a pressão também existe em contextos técnicos e físicos.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670D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imagens ampliam o tema a profissões distintas, mas reduzem o problema à experiência individual. A associação mulher-escola e homem-construção pode reproduzir papéis profissionais estereotipados.</w:t>
            </w:r>
          </w:p>
        </w:tc>
      </w:tr>
      <w:tr w:rsidR="003810C0" w14:paraId="366A9D03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399A542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Ausências e objeções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4865ADFE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Que contexto, fonte, perspetiva, explicação alternativa ou contra-argumento falta? Como pode essa ausência alterar a força da mensagem?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D0BB04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Faltam causa, duração, condições de trabalho, voz da pessoa, dados e formas de apoio. Outras leituras possíveis incluem dor de cabeça, luto ou cansaço momentâneo.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A38F2E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Faltam causa, duração, condições de segurança, voz da pessoa, dados e formas de apoio. A postura também pode indicar erro técnico, fadiga ou preocupação pontual.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B87B99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As ausências tornam frágil qualquer diagnóstico. A mesma expressão corporal admite várias explicações e exige contexto externo.</w:t>
            </w:r>
          </w:p>
        </w:tc>
      </w:tr>
      <w:tr w:rsidR="003810C0" w14:paraId="2C5DD80B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33163C74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lastRenderedPageBreak/>
              <w:t>Coerência argumentativa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771A091A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A tese, as razões e a evidência apoiam-se mutuamente? Existem contradições, generalizações ou uma conclusão mais forte do que as provas permitem?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DC17EB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relação entre espaço escolar e gesto é coerente com a leitura de pressão profissional. A conclusão de que o trabalho causou stress excede o que a imagem prova.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8E5462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relação entre estaleiro, documentos de trabalho e gesto é coerente com a leitura de pressão profissional. A causa do desconforto não é demonstrada.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480E6B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B apresenta um encadeamento visual ligeiramente mais explícito entre tarefa e reação, mas ambas sustentam apenas uma hipótese interpretativa, não uma conclusão causal.</w:t>
            </w:r>
          </w:p>
        </w:tc>
      </w:tr>
      <w:tr w:rsidR="003810C0" w14:paraId="7A4AEEAC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2735E82D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Ética e responsabilidade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5A18D971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Que efeitos ou riscos pode produzir? Respeita dignidade, privacidade, autoria, rigor e vulnerabilidade do público? Que responsabilidade cabe ao emissor?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5AAEC1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imagem não ridiculariza a pessoa, mas pode reforçar uma visão de docentes como permanentemente sobrecarregados. Consentimento, licença e contexto original por verificar.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EEC866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A imagem não ridiculariza a pessoa, mas pode simplificar o trabalho na construção como fonte de crise individual. Consentimento, licença e contexto original por verificar.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8AEA49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O uso pedagógico deve identificar a proveniência, evitar apresentar a fotografia como prova e discutir estereótipos profissionais e de género.</w:t>
            </w:r>
          </w:p>
        </w:tc>
      </w:tr>
      <w:tr w:rsidR="003810C0" w14:paraId="121783F9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27B33BDD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b/>
                <w:color w:val="243746"/>
                <w:sz w:val="14"/>
              </w:rPr>
              <w:t>Eficácia e limites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F8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</w:tcPr>
          <w:p w14:paraId="220C5F09" w14:textId="77777777" w:rsidR="003810C0" w:rsidRDefault="002E26EA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Que elemento pode tornar a mensagem persuasiva? O que continua por demonstrar, permanece ambíguo ou limita a interpretação?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A6964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O gesto é imediatamente reconhecível e o cenário escolar é legível. A baixa resolução e a ausência de contexto limitam uma análise mais precisa.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F78CF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O gesto, o equipamento e o estaleiro tornam a leitura rápida e concreta. A imagem continua sem explicar causa, frequência ou consequências.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A6953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5"/>
              </w:rPr>
              <w:t>B é visualmente mais informativa sobre o contexto. As duas são eficazes para iniciar uma discussão, mas insuficientes para provar uma afirmação sobre saúde ocupacional.</w:t>
            </w:r>
          </w:p>
        </w:tc>
      </w:tr>
    </w:tbl>
    <w:p w14:paraId="2B2EB3BC" w14:textId="77777777" w:rsidR="003810C0" w:rsidRDefault="002E26EA">
      <w:pPr>
        <w:pStyle w:val="Ttulo1"/>
        <w:pageBreakBefore/>
        <w:spacing w:before="160" w:after="100"/>
      </w:pPr>
      <w:r>
        <w:lastRenderedPageBreak/>
        <w:t>Conclusões da análise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10152"/>
      </w:tblGrid>
      <w:tr w:rsidR="003810C0" w14:paraId="41C9AD62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B209B1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Semelhanças relevantes entre as mensagens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2A8F55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As duas imagens mostram uma pessoa isolada, num espaço profissional reconhecível, com a cabeça entre as mãos. Usam o mesmo código corporal para sugerir pressão, cansaço ou preocupação e dependem sobretudo de apelo emocional.</w:t>
            </w:r>
          </w:p>
        </w:tc>
      </w:tr>
      <w:tr w:rsidR="003810C0" w14:paraId="458836C0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D6C07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Diferenças na tese, nas razões e na evidência, e efeito dessas diferenças no público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64A2C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A tese implícita é semelhante, mas A situa o problema no ensino e B na construção. B inclui mais sinais da tarefa em curso, como plantas e computador, o que torna a ligação entre trabalho e desconforto visualmente mais direta. Nenhuma apresenta razões verbais ou evidência externa.</w:t>
            </w:r>
          </w:p>
        </w:tc>
      </w:tr>
      <w:tr w:rsidR="003810C0" w14:paraId="2E93280D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94981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Mensagem com argumentação mais consistente e justificação baseada em elementos concretos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75A6F8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A Mensagem B constrói o argumento visual mais consistente, porque o equipamento, o estaleiro, as plantas e o computador relacionam a pessoa com uma tarefa concreta. Esta vantagem limita-se à clareza contextual: B também não prova que o trabalho causou a reação observada.</w:t>
            </w:r>
          </w:p>
        </w:tc>
      </w:tr>
      <w:tr w:rsidR="003810C0" w14:paraId="5F6A6BEC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437CA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Provas não apresentadas e afirmações por verificar ou que exigem confirmação externa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8D1BA6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Não apresentadas: autoria, data, publicação original, legenda, dados, testemunhos, causa e duração do estado representado. Por verificar: licença, consentimento, eventual encenação, tratamento da imagem, público original e finalidade de publicação.</w:t>
            </w:r>
          </w:p>
        </w:tc>
      </w:tr>
      <w:tr w:rsidR="003810C0" w14:paraId="2DA3A23F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B148E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Limites da comparação, incluindo contexto incompleto, ausência de fontes ou diferenças de formato e público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03A90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A comparação usa apenas duas fotografias retiradas de um PowerPoint, sem acesso às publicações originais. Diferenças de resolução, enquadramento e quantidade de informação visual influenciam a leitura. Não é possível confirmar a identidade, a profissão ou a experiência real das pessoas retratadas.</w:t>
            </w:r>
          </w:p>
        </w:tc>
      </w:tr>
      <w:tr w:rsidR="003810C0" w14:paraId="23D1948E" w14:textId="77777777">
        <w:trPr>
          <w:cantSplit/>
          <w:trHeight w:val="1944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940F25" w14:textId="77777777" w:rsidR="003810C0" w:rsidRDefault="002E26EA">
            <w:pPr>
              <w:spacing w:after="0" w:line="252" w:lineRule="auto"/>
            </w:pPr>
            <w:r>
              <w:rPr>
                <w:rFonts w:eastAsia="Aptos"/>
                <w:b/>
                <w:color w:val="243746"/>
                <w:sz w:val="15"/>
              </w:rPr>
              <w:t>Conclusão final sobre o que cada mensagem permite concluir e o que permanece em aberto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5EA7D" w14:textId="77777777" w:rsidR="003810C0" w:rsidRDefault="002E26EA">
            <w:pPr>
              <w:spacing w:after="0" w:line="252" w:lineRule="auto"/>
            </w:pPr>
            <w:r>
              <w:rPr>
                <w:color w:val="243746"/>
                <w:sz w:val="16"/>
              </w:rPr>
              <w:t>As imagens permitem concluir que a pressão no trabalho é construída visualmente através de postura corporal, isolamento e objetos profissionais. Permitem comparar como o mesmo código visual é transferido entre profissões. Não permitem concluir que as pessoas estavam efetivamente em sofrimento, que a profissão causou esse estado, que o fenómeno é frequente ou que um setor apresenta maior risco do que o outro.</w:t>
            </w:r>
          </w:p>
        </w:tc>
      </w:tr>
    </w:tbl>
    <w:p w14:paraId="3A3CC894" w14:textId="77777777" w:rsidR="003810C0" w:rsidRDefault="002E26EA">
      <w:pPr>
        <w:spacing w:before="120" w:after="0"/>
      </w:pPr>
      <w:r>
        <w:rPr>
          <w:rFonts w:eastAsia="Aptos"/>
          <w:i/>
          <w:color w:val="667788"/>
          <w:sz w:val="18"/>
        </w:rPr>
        <w:t>A conclusão deve distinguir observação, interpretação e verificação. Evite decidir apenas qual mensagem “parece melhor”. Explique o que sustenta a avaliação e reconheça os limites dos materiais disponíveis.</w:t>
      </w:r>
    </w:p>
    <w:sectPr w:rsidR="003810C0" w:rsidSect="00034616">
      <w:headerReference w:type="default" r:id="rId10"/>
      <w:footerReference w:type="default" r:id="rId11"/>
      <w:pgSz w:w="15840" w:h="12240" w:orient="landscape"/>
      <w:pgMar w:top="1037" w:right="792" w:bottom="835" w:left="792" w:header="144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40B9" w14:textId="77777777" w:rsidR="002E26EA" w:rsidRDefault="002E26EA">
      <w:pPr>
        <w:spacing w:after="0" w:line="240" w:lineRule="auto"/>
      </w:pPr>
      <w:r>
        <w:separator/>
      </w:r>
    </w:p>
  </w:endnote>
  <w:endnote w:type="continuationSeparator" w:id="0">
    <w:p w14:paraId="2A7FE3AB" w14:textId="77777777" w:rsidR="002E26EA" w:rsidRDefault="002E2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C2AA" w14:textId="77777777" w:rsidR="003810C0" w:rsidRDefault="002E26EA">
    <w:pPr>
      <w:pStyle w:val="Rodap"/>
      <w:tabs>
        <w:tab w:val="right" w:pos="14256"/>
      </w:tabs>
    </w:pPr>
    <w:proofErr w:type="spellStart"/>
    <w:r>
      <w:rPr>
        <w:rFonts w:eastAsia="Aptos"/>
        <w:color w:val="667788"/>
        <w:sz w:val="16"/>
      </w:rPr>
      <w:t>Laboratório</w:t>
    </w:r>
    <w:proofErr w:type="spellEnd"/>
    <w:r>
      <w:rPr>
        <w:rFonts w:eastAsia="Aptos"/>
        <w:color w:val="667788"/>
        <w:sz w:val="16"/>
      </w:rPr>
      <w:t xml:space="preserve"> de </w:t>
    </w:r>
    <w:proofErr w:type="spellStart"/>
    <w:r>
      <w:rPr>
        <w:rFonts w:eastAsia="Aptos"/>
        <w:color w:val="667788"/>
        <w:sz w:val="16"/>
      </w:rPr>
      <w:t>Literacia</w:t>
    </w:r>
    <w:proofErr w:type="spellEnd"/>
    <w:r>
      <w:rPr>
        <w:rFonts w:eastAsia="Aptos"/>
        <w:color w:val="667788"/>
        <w:sz w:val="16"/>
      </w:rPr>
      <w:t xml:space="preserve"> </w:t>
    </w:r>
    <w:proofErr w:type="spellStart"/>
    <w:r>
      <w:rPr>
        <w:rFonts w:eastAsia="Aptos"/>
        <w:color w:val="667788"/>
        <w:sz w:val="16"/>
      </w:rPr>
      <w:t>Mediática</w:t>
    </w:r>
    <w:proofErr w:type="spellEnd"/>
    <w:r>
      <w:rPr>
        <w:rFonts w:eastAsia="Aptos"/>
        <w:color w:val="667788"/>
        <w:sz w:val="16"/>
      </w:rPr>
      <w:tab/>
      <w:t xml:space="preserve">Página </w:t>
    </w:r>
    <w:r>
      <w:rPr>
        <w:rFonts w:eastAsia="Aptos"/>
        <w:color w:val="667788"/>
        <w:sz w:val="17"/>
      </w:rPr>
      <w:fldChar w:fldCharType="begin"/>
    </w:r>
    <w:r>
      <w:rPr>
        <w:rFonts w:eastAsia="Aptos"/>
        <w:color w:val="667788"/>
        <w:sz w:val="17"/>
      </w:rPr>
      <w:instrText xml:space="preserve"> PAGE </w:instrText>
    </w:r>
    <w:r w:rsidR="00807E47">
      <w:rPr>
        <w:rFonts w:eastAsia="Aptos"/>
        <w:color w:val="667788"/>
        <w:sz w:val="17"/>
      </w:rPr>
      <w:fldChar w:fldCharType="separate"/>
    </w:r>
    <w:r w:rsidR="00807E47">
      <w:rPr>
        <w:rFonts w:eastAsia="Aptos"/>
        <w:noProof/>
        <w:color w:val="667788"/>
        <w:sz w:val="17"/>
      </w:rPr>
      <w:t>1</w:t>
    </w:r>
    <w:r>
      <w:rPr>
        <w:rFonts w:eastAsia="Aptos"/>
        <w:color w:val="667788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163E" w14:textId="77777777" w:rsidR="002E26EA" w:rsidRDefault="002E26EA">
      <w:pPr>
        <w:spacing w:after="0" w:line="240" w:lineRule="auto"/>
      </w:pPr>
      <w:r>
        <w:separator/>
      </w:r>
    </w:p>
  </w:footnote>
  <w:footnote w:type="continuationSeparator" w:id="0">
    <w:p w14:paraId="191FB7DB" w14:textId="77777777" w:rsidR="002E26EA" w:rsidRDefault="002E2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E385" w14:textId="77777777" w:rsidR="003810C0" w:rsidRPr="00807E47" w:rsidRDefault="002E26EA">
    <w:pPr>
      <w:pStyle w:val="Cabealho"/>
      <w:pBdr>
        <w:bottom w:val="single" w:sz="6" w:space="3" w:color="D6E4F0"/>
      </w:pBdr>
      <w:tabs>
        <w:tab w:val="right" w:pos="14256"/>
      </w:tabs>
      <w:spacing w:after="40"/>
      <w:rPr>
        <w:lang w:val="pt-PT"/>
      </w:rPr>
    </w:pPr>
    <w:r>
      <w:rPr>
        <w:noProof/>
      </w:rPr>
      <w:drawing>
        <wp:inline distT="0" distB="0" distL="0" distR="0" wp14:anchorId="68D43601" wp14:editId="3028C23E">
          <wp:extent cx="566928" cy="393358"/>
          <wp:effectExtent l="0" t="0" r="0" b="0"/>
          <wp:docPr id="3231832" name="Picture 1" descr="Logótipo da APEFP" title="APEF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e_f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" cy="393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7E47">
      <w:rPr>
        <w:rFonts w:eastAsia="Aptos"/>
        <w:color w:val="667788"/>
        <w:sz w:val="17"/>
        <w:lang w:val="pt-PT"/>
      </w:rPr>
      <w:tab/>
      <w:t>Sessão 3 · Persuasão, argumentação e produção mediática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066751">
    <w:abstractNumId w:val="8"/>
  </w:num>
  <w:num w:numId="2" w16cid:durableId="411125678">
    <w:abstractNumId w:val="6"/>
  </w:num>
  <w:num w:numId="3" w16cid:durableId="717431799">
    <w:abstractNumId w:val="5"/>
  </w:num>
  <w:num w:numId="4" w16cid:durableId="136194740">
    <w:abstractNumId w:val="4"/>
  </w:num>
  <w:num w:numId="5" w16cid:durableId="305937426">
    <w:abstractNumId w:val="7"/>
  </w:num>
  <w:num w:numId="6" w16cid:durableId="907106715">
    <w:abstractNumId w:val="3"/>
  </w:num>
  <w:num w:numId="7" w16cid:durableId="1379207583">
    <w:abstractNumId w:val="2"/>
  </w:num>
  <w:num w:numId="8" w16cid:durableId="1720124588">
    <w:abstractNumId w:val="1"/>
  </w:num>
  <w:num w:numId="9" w16cid:durableId="469520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7BE9"/>
    <w:rsid w:val="0029639D"/>
    <w:rsid w:val="002E26EA"/>
    <w:rsid w:val="00326F90"/>
    <w:rsid w:val="003810C0"/>
    <w:rsid w:val="00807E4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90BA2"/>
  <w14:defaultImageDpi w14:val="300"/>
  <w15:docId w15:val="{BDBC37D5-02E0-4341-9570-608502BD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2004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comparativa preenchida com duas imagens</dc:title>
  <dc:subject>Exemplo de análise mediática, visual e argumentativa</dc:subject>
  <dc:creator>APEFP</dc:creator>
  <cp:keywords>literacia mediática, análise de imagem, argumentação, matriz comparativa</cp:keywords>
  <dc:description>generated by python-docx</dc:description>
  <cp:lastModifiedBy>Luísa Magalhães</cp:lastModifiedBy>
  <cp:revision>2</cp:revision>
  <dcterms:created xsi:type="dcterms:W3CDTF">2026-09-24T06:33:00Z</dcterms:created>
  <dcterms:modified xsi:type="dcterms:W3CDTF">2026-09-24T06:33:00Z</dcterms:modified>
  <cp:category/>
</cp:coreProperties>
</file>