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B8B1" w14:textId="08450642" w:rsidR="002F6147" w:rsidRPr="002F6147" w:rsidRDefault="002F6147" w:rsidP="002F6147">
      <w:pPr>
        <w:spacing w:before="1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Reflexão sobre a utilização da ferramenta </w:t>
      </w:r>
      <w:proofErr w:type="spellStart"/>
      <w:r w:rsidRPr="002F6147">
        <w:rPr>
          <w:rFonts w:ascii="Calibri" w:hAnsi="Calibri" w:cs="Calibri"/>
          <w:b/>
          <w:bCs/>
        </w:rPr>
        <w:t>Vidnoz</w:t>
      </w:r>
      <w:proofErr w:type="spellEnd"/>
      <w:r w:rsidRPr="002F6147">
        <w:rPr>
          <w:rFonts w:ascii="Calibri" w:hAnsi="Calibri" w:cs="Calibri"/>
          <w:b/>
          <w:bCs/>
        </w:rPr>
        <w:t xml:space="preserve"> em Contexto Educativo</w:t>
      </w:r>
    </w:p>
    <w:p w14:paraId="115D56B7" w14:textId="77777777" w:rsidR="002F6147" w:rsidRPr="002F6147" w:rsidRDefault="002F6147" w:rsidP="002F6147">
      <w:pPr>
        <w:spacing w:before="120" w:after="0" w:line="240" w:lineRule="auto"/>
        <w:jc w:val="both"/>
        <w:rPr>
          <w:rFonts w:ascii="Calibri" w:hAnsi="Calibri" w:cs="Calibri"/>
        </w:rPr>
      </w:pPr>
      <w:r w:rsidRPr="002F6147">
        <w:rPr>
          <w:rFonts w:ascii="Calibri" w:hAnsi="Calibri" w:cs="Calibri"/>
        </w:rPr>
        <w:t xml:space="preserve">A integração de ferramentas de criação de vídeo com inteligência artificial, como o </w:t>
      </w:r>
      <w:proofErr w:type="spellStart"/>
      <w:r w:rsidRPr="002F6147">
        <w:rPr>
          <w:rFonts w:ascii="Calibri" w:hAnsi="Calibri" w:cs="Calibri"/>
        </w:rPr>
        <w:t>Vidnoz</w:t>
      </w:r>
      <w:proofErr w:type="spellEnd"/>
      <w:r w:rsidRPr="002F6147">
        <w:rPr>
          <w:rFonts w:ascii="Calibri" w:hAnsi="Calibri" w:cs="Calibri"/>
        </w:rPr>
        <w:t xml:space="preserve">, abre novas possibilidades para o processo de ensino-aprendizagem. Através desta plataforma, professores e alunos podem produzir conteúdos audiovisuais de forma simples, rápida e sem necessidade de equipamentos sofisticados, democratizando a criação multimédia em sala de aula. A utilização de avatares digitais e síntese de voz permite desenvolver materiais pedagógicos mais dinâmicos e acessíveis, respondendo a diferentes estilos de aprendizagem. Para os alunos, o contacto com estas tecnologias promove a literacia digital e estimula a criatividade, competências cada vez mais valorizadas na sociedade atual. Os professores, por sua vez, podem diversificar as suas estratégias didáticas, tornando os conteúdos mais envolventes e motivadores. Em suma, o </w:t>
      </w:r>
      <w:proofErr w:type="spellStart"/>
      <w:r w:rsidRPr="002F6147">
        <w:rPr>
          <w:rFonts w:ascii="Calibri" w:hAnsi="Calibri" w:cs="Calibri"/>
        </w:rPr>
        <w:t>Vidnoz</w:t>
      </w:r>
      <w:proofErr w:type="spellEnd"/>
      <w:r w:rsidRPr="002F6147">
        <w:rPr>
          <w:rFonts w:ascii="Calibri" w:hAnsi="Calibri" w:cs="Calibri"/>
        </w:rPr>
        <w:t xml:space="preserve"> representa um exemplo do potencial transformador da IA na educação, desde que utilizado de forma crítica, intencional e pedagogicamente fundamentada.</w:t>
      </w:r>
    </w:p>
    <w:sectPr w:rsidR="002F6147" w:rsidRPr="002F6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47"/>
    <w:rsid w:val="00025677"/>
    <w:rsid w:val="002F6147"/>
    <w:rsid w:val="00492140"/>
    <w:rsid w:val="00656338"/>
    <w:rsid w:val="0079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F31"/>
  <w15:chartTrackingRefBased/>
  <w15:docId w15:val="{02EADABF-3EFF-415E-B1A7-402C77EF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F6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F6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F6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F6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F6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F6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F6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F6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F6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6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F6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F6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F61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F614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F61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F614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F61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F61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F6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F6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F6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F6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F6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F61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614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F61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F6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F614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F6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Vítor Silva</dc:creator>
  <cp:keywords/>
  <dc:description/>
  <cp:lastModifiedBy>Vítor Silva</cp:lastModifiedBy>
  <cp:revision>1</cp:revision>
  <dcterms:created xsi:type="dcterms:W3CDTF">2026-06-07T22:56:00Z</dcterms:created>
  <dcterms:modified xsi:type="dcterms:W3CDTF">2026-06-07T22:57:00Z</dcterms:modified>
</cp:coreProperties>
</file>